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07" w:rsidRPr="0058352A" w:rsidRDefault="00851D07" w:rsidP="00851D07">
      <w:pPr>
        <w:spacing w:line="520" w:lineRule="exact"/>
        <w:rPr>
          <w:rFonts w:ascii="仿宋_GB2312" w:eastAsia="仿宋_GB2312" w:hAnsi="Times New Roman"/>
          <w:sz w:val="32"/>
          <w:szCs w:val="32"/>
        </w:rPr>
      </w:pPr>
      <w:r w:rsidRPr="0058352A">
        <w:rPr>
          <w:rFonts w:ascii="仿宋_GB2312" w:eastAsia="仿宋_GB2312" w:hAnsi="Times New Roman" w:hint="eastAsia"/>
          <w:sz w:val="32"/>
          <w:szCs w:val="32"/>
        </w:rPr>
        <w:t>附件</w:t>
      </w:r>
      <w:r w:rsidRPr="0058352A">
        <w:rPr>
          <w:rFonts w:ascii="仿宋_GB2312" w:eastAsia="仿宋_GB2312" w:hAnsi="Times New Roman"/>
          <w:sz w:val="32"/>
          <w:szCs w:val="32"/>
        </w:rPr>
        <w:t>1</w:t>
      </w:r>
      <w:r w:rsidRPr="0058352A">
        <w:rPr>
          <w:rFonts w:ascii="仿宋_GB2312" w:eastAsia="仿宋_GB2312" w:hAnsi="Times New Roman" w:hint="eastAsia"/>
          <w:sz w:val="32"/>
          <w:szCs w:val="32"/>
        </w:rPr>
        <w:t>：</w:t>
      </w:r>
    </w:p>
    <w:p w:rsidR="00851D07" w:rsidRPr="00B06B1C" w:rsidRDefault="00851D07" w:rsidP="00851D07">
      <w:pPr>
        <w:spacing w:line="520" w:lineRule="exact"/>
        <w:jc w:val="center"/>
        <w:rPr>
          <w:rFonts w:ascii="方正小标宋简体" w:eastAsia="方正小标宋简体" w:hAnsi="Times New Roman"/>
          <w:sz w:val="32"/>
          <w:szCs w:val="32"/>
        </w:rPr>
      </w:pPr>
      <w:r w:rsidRPr="00B06B1C">
        <w:rPr>
          <w:rFonts w:ascii="方正小标宋简体" w:eastAsia="方正小标宋简体" w:hAnsi="Times New Roman" w:hint="eastAsia"/>
          <w:sz w:val="32"/>
          <w:szCs w:val="32"/>
        </w:rPr>
        <w:t>作品评审标准</w:t>
      </w:r>
    </w:p>
    <w:tbl>
      <w:tblPr>
        <w:tblpPr w:leftFromText="180" w:rightFromText="180" w:vertAnchor="text" w:horzAnchor="margin" w:tblpX="-351" w:tblpY="10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56"/>
        <w:gridCol w:w="1559"/>
        <w:gridCol w:w="6595"/>
      </w:tblGrid>
      <w:tr w:rsidR="00851D07" w:rsidRPr="00B06B1C" w:rsidTr="005B1E1F">
        <w:tc>
          <w:tcPr>
            <w:tcW w:w="2727" w:type="dxa"/>
            <w:gridSpan w:val="3"/>
            <w:vAlign w:val="center"/>
          </w:tcPr>
          <w:p w:rsidR="00851D07" w:rsidRPr="00B06B1C" w:rsidRDefault="00851D07" w:rsidP="005B1E1F">
            <w:pPr>
              <w:ind w:leftChars="-135" w:left="-283" w:firstLineChars="118" w:firstLine="284"/>
              <w:jc w:val="center"/>
              <w:rPr>
                <w:rFonts w:ascii="仿宋_GB2312" w:eastAsia="仿宋_GB2312" w:hAnsi="Times New Roman"/>
                <w:b/>
                <w:sz w:val="24"/>
                <w:szCs w:val="24"/>
              </w:rPr>
            </w:pPr>
            <w:r w:rsidRPr="00B06B1C">
              <w:rPr>
                <w:rFonts w:ascii="仿宋_GB2312" w:eastAsia="仿宋_GB2312" w:hAnsi="Times New Roman" w:hint="eastAsia"/>
                <w:b/>
                <w:sz w:val="24"/>
                <w:szCs w:val="24"/>
              </w:rPr>
              <w:t>指标</w:t>
            </w:r>
          </w:p>
        </w:tc>
        <w:tc>
          <w:tcPr>
            <w:tcW w:w="6595" w:type="dxa"/>
            <w:vAlign w:val="center"/>
          </w:tcPr>
          <w:p w:rsidR="00851D07" w:rsidRPr="00B06B1C" w:rsidRDefault="00851D07" w:rsidP="005B1E1F">
            <w:pPr>
              <w:jc w:val="center"/>
              <w:rPr>
                <w:rFonts w:ascii="仿宋_GB2312" w:eastAsia="仿宋_GB2312" w:hAnsi="Times New Roman"/>
                <w:b/>
                <w:sz w:val="24"/>
                <w:szCs w:val="24"/>
              </w:rPr>
            </w:pPr>
            <w:r w:rsidRPr="00B06B1C">
              <w:rPr>
                <w:rFonts w:ascii="仿宋_GB2312" w:eastAsia="仿宋_GB2312" w:hAnsi="Times New Roman" w:hint="eastAsia"/>
                <w:b/>
                <w:sz w:val="24"/>
                <w:szCs w:val="24"/>
              </w:rPr>
              <w:t>内</w:t>
            </w:r>
            <w:r>
              <w:rPr>
                <w:rFonts w:ascii="仿宋_GB2312" w:eastAsia="仿宋_GB2312" w:hAnsi="Times New Roman" w:hint="eastAsia"/>
                <w:b/>
                <w:sz w:val="24"/>
                <w:szCs w:val="24"/>
              </w:rPr>
              <w:t xml:space="preserve">  </w:t>
            </w:r>
            <w:r w:rsidRPr="00B06B1C">
              <w:rPr>
                <w:rFonts w:ascii="仿宋_GB2312" w:eastAsia="仿宋_GB2312" w:hAnsi="Times New Roman" w:hint="eastAsia"/>
                <w:b/>
                <w:sz w:val="24"/>
                <w:szCs w:val="24"/>
              </w:rPr>
              <w:t>容</w:t>
            </w:r>
          </w:p>
        </w:tc>
      </w:tr>
      <w:tr w:rsidR="00851D07" w:rsidRPr="00B06B1C" w:rsidTr="005B1E1F">
        <w:trPr>
          <w:cantSplit/>
          <w:trHeight w:val="285"/>
        </w:trPr>
        <w:tc>
          <w:tcPr>
            <w:tcW w:w="2727" w:type="dxa"/>
            <w:gridSpan w:val="3"/>
            <w:vAlign w:val="center"/>
          </w:tcPr>
          <w:p w:rsidR="00851D07" w:rsidRPr="00B06B1C" w:rsidRDefault="00851D07" w:rsidP="005B1E1F">
            <w:pPr>
              <w:jc w:val="center"/>
              <w:rPr>
                <w:rFonts w:ascii="仿宋_GB2312" w:eastAsia="仿宋_GB2312" w:hAnsi="Times New Roman"/>
                <w:sz w:val="24"/>
                <w:szCs w:val="24"/>
              </w:rPr>
            </w:pPr>
            <w:r w:rsidRPr="00B06B1C">
              <w:rPr>
                <w:rFonts w:ascii="仿宋_GB2312" w:eastAsia="仿宋_GB2312" w:hAnsi="Times New Roman" w:hint="eastAsia"/>
                <w:sz w:val="24"/>
                <w:szCs w:val="24"/>
              </w:rPr>
              <w:t>基本要求</w:t>
            </w:r>
          </w:p>
        </w:tc>
        <w:tc>
          <w:tcPr>
            <w:tcW w:w="6595" w:type="dxa"/>
            <w:vAlign w:val="center"/>
          </w:tcPr>
          <w:p w:rsidR="00851D07" w:rsidRPr="00B06B1C" w:rsidRDefault="00851D07" w:rsidP="005B1E1F">
            <w:pPr>
              <w:jc w:val="left"/>
              <w:rPr>
                <w:rFonts w:ascii="仿宋_GB2312" w:eastAsia="仿宋_GB2312" w:hAnsi="Times New Roman"/>
                <w:sz w:val="24"/>
                <w:szCs w:val="24"/>
              </w:rPr>
            </w:pPr>
            <w:r w:rsidRPr="00B06B1C">
              <w:rPr>
                <w:rFonts w:ascii="仿宋_GB2312" w:eastAsia="仿宋_GB2312" w:hAnsi="Times New Roman" w:hint="eastAsia"/>
                <w:sz w:val="24"/>
                <w:szCs w:val="24"/>
              </w:rPr>
              <w:t>符合寓教于乐、寓学于乐的主题和类型</w:t>
            </w:r>
          </w:p>
        </w:tc>
      </w:tr>
      <w:tr w:rsidR="00851D07" w:rsidRPr="00B06B1C" w:rsidTr="005B1E1F">
        <w:trPr>
          <w:cantSplit/>
          <w:trHeight w:val="442"/>
        </w:trPr>
        <w:tc>
          <w:tcPr>
            <w:tcW w:w="612" w:type="dxa"/>
            <w:vMerge w:val="restart"/>
            <w:vAlign w:val="center"/>
          </w:tcPr>
          <w:p w:rsidR="00851D07" w:rsidRPr="00B06B1C" w:rsidRDefault="00851D07" w:rsidP="005B1E1F">
            <w:pPr>
              <w:jc w:val="center"/>
              <w:rPr>
                <w:rFonts w:ascii="仿宋_GB2312" w:eastAsia="仿宋_GB2312" w:hAnsi="Times New Roman"/>
                <w:sz w:val="24"/>
                <w:szCs w:val="24"/>
              </w:rPr>
            </w:pPr>
            <w:r w:rsidRPr="00B06B1C">
              <w:rPr>
                <w:rFonts w:ascii="仿宋_GB2312" w:eastAsia="仿宋_GB2312" w:hAnsi="Times New Roman" w:hint="eastAsia"/>
                <w:sz w:val="24"/>
                <w:szCs w:val="24"/>
              </w:rPr>
              <w:t>一般要求</w:t>
            </w:r>
          </w:p>
        </w:tc>
        <w:tc>
          <w:tcPr>
            <w:tcW w:w="556" w:type="dxa"/>
            <w:vMerge w:val="restart"/>
            <w:vAlign w:val="center"/>
          </w:tcPr>
          <w:p w:rsidR="00851D07" w:rsidRPr="00B06B1C" w:rsidRDefault="00851D07" w:rsidP="005B1E1F">
            <w:pPr>
              <w:jc w:val="center"/>
              <w:rPr>
                <w:rFonts w:ascii="仿宋_GB2312" w:eastAsia="仿宋_GB2312" w:hAnsi="Times New Roman"/>
                <w:sz w:val="24"/>
                <w:szCs w:val="24"/>
              </w:rPr>
            </w:pPr>
            <w:r w:rsidRPr="00B06B1C">
              <w:rPr>
                <w:rFonts w:ascii="仿宋_GB2312" w:eastAsia="仿宋_GB2312" w:hAnsi="Times New Roman" w:hint="eastAsia"/>
                <w:sz w:val="24"/>
                <w:szCs w:val="24"/>
              </w:rPr>
              <w:t>教育性</w:t>
            </w:r>
          </w:p>
          <w:p w:rsidR="00851D07" w:rsidRPr="00B06B1C" w:rsidRDefault="00851D07" w:rsidP="005B1E1F">
            <w:pPr>
              <w:jc w:val="center"/>
              <w:rPr>
                <w:rFonts w:ascii="仿宋_GB2312" w:eastAsia="仿宋_GB2312" w:hAnsi="Times New Roman"/>
                <w:sz w:val="24"/>
                <w:szCs w:val="24"/>
              </w:rPr>
            </w:pPr>
            <w:r w:rsidRPr="00B06B1C">
              <w:rPr>
                <w:rFonts w:ascii="仿宋_GB2312" w:eastAsia="仿宋_GB2312" w:hAnsi="Times New Roman" w:hint="eastAsia"/>
                <w:sz w:val="24"/>
                <w:szCs w:val="24"/>
              </w:rPr>
              <w:t>30%</w:t>
            </w: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学习目标</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知识技能情感目标清晰准确，符合教学大纲要求和学习者知识经验；</w:t>
            </w:r>
          </w:p>
        </w:tc>
      </w:tr>
      <w:tr w:rsidR="00851D07" w:rsidRPr="00B06B1C" w:rsidTr="005B1E1F">
        <w:trPr>
          <w:cantSplit/>
          <w:trHeight w:val="153"/>
        </w:trPr>
        <w:tc>
          <w:tcPr>
            <w:tcW w:w="612" w:type="dxa"/>
            <w:vMerge/>
            <w:vAlign w:val="center"/>
          </w:tcPr>
          <w:p w:rsidR="00851D07" w:rsidRPr="00B06B1C" w:rsidRDefault="00851D07" w:rsidP="005B1E1F">
            <w:pPr>
              <w:jc w:val="center"/>
              <w:rPr>
                <w:rFonts w:ascii="仿宋_GB2312" w:eastAsia="仿宋_GB2312" w:hAnsi="Times New Roman"/>
                <w:sz w:val="24"/>
                <w:szCs w:val="24"/>
              </w:rPr>
            </w:pPr>
          </w:p>
        </w:tc>
        <w:tc>
          <w:tcPr>
            <w:tcW w:w="556" w:type="dxa"/>
            <w:vMerge/>
            <w:vAlign w:val="center"/>
          </w:tcPr>
          <w:p w:rsidR="00851D07" w:rsidRPr="00B06B1C" w:rsidRDefault="00851D07" w:rsidP="005B1E1F">
            <w:pPr>
              <w:jc w:val="cente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教学内容</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内容科学、正确、规范，知识表述准确无误，符合学生认知规律，取材合适，深度适宜；</w:t>
            </w:r>
          </w:p>
        </w:tc>
      </w:tr>
      <w:tr w:rsidR="00851D07" w:rsidRPr="00B06B1C" w:rsidTr="005B1E1F">
        <w:trPr>
          <w:cantSplit/>
          <w:trHeight w:val="153"/>
        </w:trPr>
        <w:tc>
          <w:tcPr>
            <w:tcW w:w="612" w:type="dxa"/>
            <w:vMerge/>
            <w:vAlign w:val="center"/>
          </w:tcPr>
          <w:p w:rsidR="00851D07" w:rsidRPr="00B06B1C" w:rsidRDefault="00851D07" w:rsidP="005B1E1F">
            <w:pPr>
              <w:rPr>
                <w:rFonts w:ascii="仿宋_GB2312" w:eastAsia="仿宋_GB2312" w:hAnsi="Times New Roman"/>
                <w:sz w:val="24"/>
                <w:szCs w:val="24"/>
              </w:rPr>
            </w:pPr>
          </w:p>
        </w:tc>
        <w:tc>
          <w:tcPr>
            <w:tcW w:w="556" w:type="dxa"/>
            <w:vMerge/>
            <w:vAlign w:val="center"/>
          </w:tcPr>
          <w:p w:rsidR="00851D07" w:rsidRPr="00B06B1C" w:rsidRDefault="00851D07" w:rsidP="005B1E1F">
            <w:pP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语言文字</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语言文字规范，无错别字，繁、异体字使用合理。</w:t>
            </w:r>
          </w:p>
        </w:tc>
      </w:tr>
      <w:tr w:rsidR="00851D07" w:rsidRPr="00B06B1C" w:rsidTr="005B1E1F">
        <w:trPr>
          <w:cantSplit/>
          <w:trHeight w:val="153"/>
        </w:trPr>
        <w:tc>
          <w:tcPr>
            <w:tcW w:w="612" w:type="dxa"/>
            <w:vMerge/>
            <w:vAlign w:val="center"/>
          </w:tcPr>
          <w:p w:rsidR="00851D07" w:rsidRPr="00B06B1C" w:rsidRDefault="00851D07" w:rsidP="005B1E1F">
            <w:pPr>
              <w:rPr>
                <w:rFonts w:ascii="仿宋_GB2312" w:eastAsia="仿宋_GB2312" w:hAnsi="Times New Roman"/>
                <w:sz w:val="24"/>
                <w:szCs w:val="24"/>
              </w:rPr>
            </w:pPr>
          </w:p>
        </w:tc>
        <w:tc>
          <w:tcPr>
            <w:tcW w:w="556" w:type="dxa"/>
            <w:vMerge/>
            <w:vAlign w:val="center"/>
          </w:tcPr>
          <w:p w:rsidR="00851D07" w:rsidRPr="00B06B1C" w:rsidRDefault="00851D07" w:rsidP="005B1E1F">
            <w:pP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知识反馈</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反馈明确，每个操作步骤都能得到及时的反馈；</w:t>
            </w:r>
          </w:p>
        </w:tc>
      </w:tr>
      <w:tr w:rsidR="00851D07" w:rsidRPr="00B06B1C" w:rsidTr="005B1E1F">
        <w:trPr>
          <w:cantSplit/>
          <w:trHeight w:val="153"/>
        </w:trPr>
        <w:tc>
          <w:tcPr>
            <w:tcW w:w="612" w:type="dxa"/>
            <w:vMerge/>
            <w:vAlign w:val="center"/>
          </w:tcPr>
          <w:p w:rsidR="00851D07" w:rsidRPr="00B06B1C" w:rsidRDefault="00851D07" w:rsidP="005B1E1F">
            <w:pPr>
              <w:rPr>
                <w:rFonts w:ascii="仿宋_GB2312" w:eastAsia="仿宋_GB2312" w:hAnsi="Times New Roman"/>
                <w:sz w:val="24"/>
                <w:szCs w:val="24"/>
              </w:rPr>
            </w:pPr>
          </w:p>
        </w:tc>
        <w:tc>
          <w:tcPr>
            <w:tcW w:w="556" w:type="dxa"/>
            <w:vMerge/>
            <w:vAlign w:val="center"/>
          </w:tcPr>
          <w:p w:rsidR="00851D07" w:rsidRPr="00B06B1C" w:rsidRDefault="00851D07" w:rsidP="005B1E1F">
            <w:pP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关卡设计</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符合学习规律，学习者情感体验愉悦，同时满足其自我成就感；</w:t>
            </w:r>
          </w:p>
        </w:tc>
      </w:tr>
      <w:tr w:rsidR="00851D07" w:rsidRPr="00B06B1C" w:rsidTr="005B1E1F">
        <w:trPr>
          <w:cantSplit/>
          <w:trHeight w:val="153"/>
        </w:trPr>
        <w:tc>
          <w:tcPr>
            <w:tcW w:w="612" w:type="dxa"/>
            <w:vMerge/>
            <w:vAlign w:val="center"/>
          </w:tcPr>
          <w:p w:rsidR="00851D07" w:rsidRPr="00B06B1C" w:rsidRDefault="00851D07" w:rsidP="005B1E1F">
            <w:pPr>
              <w:rPr>
                <w:rFonts w:ascii="仿宋_GB2312" w:eastAsia="仿宋_GB2312" w:hAnsi="Times New Roman"/>
                <w:sz w:val="24"/>
                <w:szCs w:val="24"/>
              </w:rPr>
            </w:pPr>
          </w:p>
        </w:tc>
        <w:tc>
          <w:tcPr>
            <w:tcW w:w="556" w:type="dxa"/>
            <w:vMerge/>
            <w:vAlign w:val="center"/>
          </w:tcPr>
          <w:p w:rsidR="00851D07" w:rsidRPr="00B06B1C" w:rsidRDefault="00851D07" w:rsidP="005B1E1F">
            <w:pP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内容性与挑战性平衡</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教育游戏软件的使用，应有助于教育教学，而非仅简单地作为载体，学习内容和挑战平衡；</w:t>
            </w:r>
          </w:p>
        </w:tc>
      </w:tr>
      <w:tr w:rsidR="00851D07" w:rsidRPr="00B06B1C" w:rsidTr="005B1E1F">
        <w:trPr>
          <w:cantSplit/>
          <w:trHeight w:val="185"/>
        </w:trPr>
        <w:tc>
          <w:tcPr>
            <w:tcW w:w="612" w:type="dxa"/>
            <w:vMerge/>
            <w:vAlign w:val="center"/>
          </w:tcPr>
          <w:p w:rsidR="00851D07" w:rsidRPr="00B06B1C" w:rsidRDefault="00851D07" w:rsidP="005B1E1F">
            <w:pPr>
              <w:rPr>
                <w:rFonts w:ascii="仿宋_GB2312" w:eastAsia="仿宋_GB2312" w:hAnsi="Times New Roman"/>
                <w:sz w:val="24"/>
                <w:szCs w:val="24"/>
              </w:rPr>
            </w:pPr>
          </w:p>
        </w:tc>
        <w:tc>
          <w:tcPr>
            <w:tcW w:w="556" w:type="dxa"/>
            <w:vMerge w:val="restart"/>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游戏性</w:t>
            </w:r>
          </w:p>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25%</w:t>
            </w: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游戏挑战性</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挑战性适中，稍高于学习者的能力水平，能充分激发学习者内在动力；</w:t>
            </w:r>
          </w:p>
        </w:tc>
      </w:tr>
      <w:tr w:rsidR="00851D07" w:rsidRPr="00B06B1C" w:rsidTr="005B1E1F">
        <w:trPr>
          <w:cantSplit/>
          <w:trHeight w:val="185"/>
        </w:trPr>
        <w:tc>
          <w:tcPr>
            <w:tcW w:w="612" w:type="dxa"/>
            <w:vMerge/>
            <w:vAlign w:val="center"/>
          </w:tcPr>
          <w:p w:rsidR="00851D07" w:rsidRPr="00B06B1C" w:rsidRDefault="00851D07" w:rsidP="005B1E1F">
            <w:pPr>
              <w:rPr>
                <w:rFonts w:ascii="仿宋_GB2312" w:eastAsia="仿宋_GB2312" w:hAnsi="Times New Roman"/>
                <w:sz w:val="24"/>
                <w:szCs w:val="24"/>
              </w:rPr>
            </w:pPr>
          </w:p>
        </w:tc>
        <w:tc>
          <w:tcPr>
            <w:tcW w:w="556" w:type="dxa"/>
            <w:vMerge/>
            <w:vAlign w:val="center"/>
          </w:tcPr>
          <w:p w:rsidR="00851D07" w:rsidRPr="00B06B1C" w:rsidRDefault="00851D07" w:rsidP="005B1E1F">
            <w:pP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激励机制</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软件有适当的奖惩措施，能激发学习者继续参与、学习的动机；</w:t>
            </w:r>
          </w:p>
        </w:tc>
      </w:tr>
      <w:tr w:rsidR="00851D07" w:rsidRPr="00B06B1C" w:rsidTr="005B1E1F">
        <w:trPr>
          <w:cantSplit/>
          <w:trHeight w:val="185"/>
        </w:trPr>
        <w:tc>
          <w:tcPr>
            <w:tcW w:w="612" w:type="dxa"/>
            <w:vMerge/>
            <w:vAlign w:val="center"/>
          </w:tcPr>
          <w:p w:rsidR="00851D07" w:rsidRPr="00B06B1C" w:rsidRDefault="00851D07" w:rsidP="005B1E1F">
            <w:pPr>
              <w:rPr>
                <w:rFonts w:ascii="仿宋_GB2312" w:eastAsia="仿宋_GB2312" w:hAnsi="Times New Roman"/>
                <w:sz w:val="24"/>
                <w:szCs w:val="24"/>
              </w:rPr>
            </w:pPr>
          </w:p>
        </w:tc>
        <w:tc>
          <w:tcPr>
            <w:tcW w:w="556" w:type="dxa"/>
            <w:vMerge/>
            <w:vAlign w:val="center"/>
          </w:tcPr>
          <w:p w:rsidR="00851D07" w:rsidRPr="00B06B1C" w:rsidRDefault="00851D07" w:rsidP="005B1E1F">
            <w:pP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游戏故事情节</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故事情节具有吸引力，能集中学习者注意力；</w:t>
            </w:r>
          </w:p>
        </w:tc>
      </w:tr>
      <w:tr w:rsidR="00851D07" w:rsidRPr="00B06B1C" w:rsidTr="005B1E1F">
        <w:trPr>
          <w:cantSplit/>
          <w:trHeight w:val="185"/>
        </w:trPr>
        <w:tc>
          <w:tcPr>
            <w:tcW w:w="612" w:type="dxa"/>
            <w:vMerge/>
            <w:vAlign w:val="center"/>
          </w:tcPr>
          <w:p w:rsidR="00851D07" w:rsidRPr="00B06B1C" w:rsidRDefault="00851D07" w:rsidP="005B1E1F">
            <w:pPr>
              <w:rPr>
                <w:rFonts w:ascii="仿宋_GB2312" w:eastAsia="仿宋_GB2312" w:hAnsi="Times New Roman"/>
                <w:sz w:val="24"/>
                <w:szCs w:val="24"/>
              </w:rPr>
            </w:pPr>
          </w:p>
        </w:tc>
        <w:tc>
          <w:tcPr>
            <w:tcW w:w="556" w:type="dxa"/>
            <w:vMerge/>
            <w:vAlign w:val="center"/>
          </w:tcPr>
          <w:p w:rsidR="00851D07" w:rsidRPr="00B06B1C" w:rsidRDefault="00851D07" w:rsidP="005B1E1F">
            <w:pP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游戏体验</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游戏沉浸感、满足感和愉悦感强，重复可体验性高；</w:t>
            </w:r>
          </w:p>
        </w:tc>
      </w:tr>
      <w:tr w:rsidR="00851D07" w:rsidRPr="00B06B1C" w:rsidTr="005B1E1F">
        <w:trPr>
          <w:cantSplit/>
          <w:trHeight w:val="185"/>
        </w:trPr>
        <w:tc>
          <w:tcPr>
            <w:tcW w:w="612" w:type="dxa"/>
            <w:vMerge/>
            <w:vAlign w:val="center"/>
          </w:tcPr>
          <w:p w:rsidR="00851D07" w:rsidRPr="00B06B1C" w:rsidRDefault="00851D07" w:rsidP="005B1E1F">
            <w:pPr>
              <w:rPr>
                <w:rFonts w:ascii="仿宋_GB2312" w:eastAsia="仿宋_GB2312" w:hAnsi="Times New Roman"/>
                <w:sz w:val="24"/>
                <w:szCs w:val="24"/>
              </w:rPr>
            </w:pPr>
          </w:p>
        </w:tc>
        <w:tc>
          <w:tcPr>
            <w:tcW w:w="556" w:type="dxa"/>
            <w:vMerge/>
            <w:vAlign w:val="center"/>
          </w:tcPr>
          <w:p w:rsidR="00851D07" w:rsidRPr="00B06B1C" w:rsidRDefault="00851D07" w:rsidP="005B1E1F">
            <w:pP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知识与游戏的融合度</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游戏形式与知识匹配程度高，形式多样 ，且符合教学内容和要求；</w:t>
            </w:r>
          </w:p>
        </w:tc>
      </w:tr>
      <w:tr w:rsidR="00851D07" w:rsidRPr="00B06B1C" w:rsidTr="005B1E1F">
        <w:trPr>
          <w:cantSplit/>
          <w:trHeight w:val="352"/>
        </w:trPr>
        <w:tc>
          <w:tcPr>
            <w:tcW w:w="612" w:type="dxa"/>
            <w:vMerge/>
            <w:vAlign w:val="center"/>
          </w:tcPr>
          <w:p w:rsidR="00851D07" w:rsidRPr="00B06B1C" w:rsidRDefault="00851D07" w:rsidP="005B1E1F">
            <w:pPr>
              <w:jc w:val="center"/>
              <w:rPr>
                <w:rFonts w:ascii="仿宋_GB2312" w:eastAsia="仿宋_GB2312" w:hAnsi="Times New Roman"/>
                <w:sz w:val="24"/>
                <w:szCs w:val="24"/>
              </w:rPr>
            </w:pPr>
          </w:p>
        </w:tc>
        <w:tc>
          <w:tcPr>
            <w:tcW w:w="556" w:type="dxa"/>
            <w:vMerge w:val="restart"/>
            <w:vAlign w:val="center"/>
          </w:tcPr>
          <w:p w:rsidR="00851D07" w:rsidRPr="00B06B1C" w:rsidRDefault="00851D07" w:rsidP="005B1E1F">
            <w:pPr>
              <w:jc w:val="center"/>
              <w:rPr>
                <w:rFonts w:ascii="仿宋_GB2312" w:eastAsia="仿宋_GB2312" w:hAnsi="Times New Roman"/>
                <w:sz w:val="24"/>
                <w:szCs w:val="24"/>
              </w:rPr>
            </w:pPr>
            <w:r w:rsidRPr="00B06B1C">
              <w:rPr>
                <w:rFonts w:ascii="仿宋_GB2312" w:eastAsia="仿宋_GB2312" w:hAnsi="Times New Roman" w:hint="eastAsia"/>
                <w:sz w:val="24"/>
                <w:szCs w:val="24"/>
              </w:rPr>
              <w:t>艺术性</w:t>
            </w:r>
          </w:p>
          <w:p w:rsidR="00851D07" w:rsidRPr="00B06B1C" w:rsidRDefault="00851D07" w:rsidP="005B1E1F">
            <w:pPr>
              <w:jc w:val="center"/>
              <w:rPr>
                <w:rFonts w:ascii="仿宋_GB2312" w:eastAsia="仿宋_GB2312" w:hAnsi="Times New Roman"/>
                <w:sz w:val="24"/>
                <w:szCs w:val="24"/>
              </w:rPr>
            </w:pPr>
            <w:r w:rsidRPr="00B06B1C">
              <w:rPr>
                <w:rFonts w:ascii="仿宋_GB2312" w:eastAsia="仿宋_GB2312" w:hAnsi="Times New Roman" w:hint="eastAsia"/>
                <w:sz w:val="24"/>
                <w:szCs w:val="24"/>
              </w:rPr>
              <w:t>20%</w:t>
            </w: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界面设计</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界面设计清晰、美观、协调，符合所呈现内容及教学对象；</w:t>
            </w:r>
          </w:p>
        </w:tc>
      </w:tr>
      <w:tr w:rsidR="00851D07" w:rsidRPr="00B06B1C" w:rsidTr="005B1E1F">
        <w:trPr>
          <w:cantSplit/>
          <w:trHeight w:val="353"/>
        </w:trPr>
        <w:tc>
          <w:tcPr>
            <w:tcW w:w="612" w:type="dxa"/>
            <w:vMerge/>
            <w:vAlign w:val="center"/>
          </w:tcPr>
          <w:p w:rsidR="00851D07" w:rsidRPr="00B06B1C" w:rsidRDefault="00851D07" w:rsidP="005B1E1F">
            <w:pPr>
              <w:jc w:val="center"/>
              <w:rPr>
                <w:rFonts w:ascii="仿宋_GB2312" w:eastAsia="仿宋_GB2312" w:hAnsi="Times New Roman"/>
                <w:sz w:val="24"/>
                <w:szCs w:val="24"/>
              </w:rPr>
            </w:pPr>
          </w:p>
        </w:tc>
        <w:tc>
          <w:tcPr>
            <w:tcW w:w="556" w:type="dxa"/>
            <w:vMerge/>
            <w:vAlign w:val="center"/>
          </w:tcPr>
          <w:p w:rsidR="00851D07" w:rsidRPr="00B06B1C" w:rsidRDefault="00851D07" w:rsidP="005B1E1F">
            <w:pPr>
              <w:jc w:val="cente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导航标识</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导航体系友好，无需专门训练即能使使用者了解课件结构并进行操作；</w:t>
            </w:r>
          </w:p>
        </w:tc>
      </w:tr>
      <w:tr w:rsidR="00851D07" w:rsidRPr="00B06B1C" w:rsidTr="005B1E1F">
        <w:trPr>
          <w:cantSplit/>
          <w:trHeight w:val="307"/>
        </w:trPr>
        <w:tc>
          <w:tcPr>
            <w:tcW w:w="612" w:type="dxa"/>
            <w:vMerge/>
            <w:vAlign w:val="center"/>
          </w:tcPr>
          <w:p w:rsidR="00851D07" w:rsidRPr="00B06B1C" w:rsidRDefault="00851D07" w:rsidP="005B1E1F">
            <w:pPr>
              <w:jc w:val="center"/>
              <w:rPr>
                <w:rFonts w:ascii="仿宋_GB2312" w:eastAsia="仿宋_GB2312" w:hAnsi="Times New Roman"/>
                <w:sz w:val="24"/>
                <w:szCs w:val="24"/>
              </w:rPr>
            </w:pPr>
          </w:p>
        </w:tc>
        <w:tc>
          <w:tcPr>
            <w:tcW w:w="556" w:type="dxa"/>
            <w:vMerge/>
            <w:vAlign w:val="center"/>
          </w:tcPr>
          <w:p w:rsidR="00851D07" w:rsidRPr="00B06B1C" w:rsidRDefault="00851D07" w:rsidP="005B1E1F">
            <w:pPr>
              <w:jc w:val="cente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媒体选择设计</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图像、声音、颜色等的运用，声画结合，有感染力，能对软件起积极补充作用；</w:t>
            </w:r>
          </w:p>
        </w:tc>
      </w:tr>
      <w:tr w:rsidR="00851D07" w:rsidRPr="00B06B1C" w:rsidTr="005B1E1F">
        <w:trPr>
          <w:cantSplit/>
          <w:trHeight w:val="307"/>
        </w:trPr>
        <w:tc>
          <w:tcPr>
            <w:tcW w:w="612" w:type="dxa"/>
            <w:vMerge/>
            <w:vAlign w:val="center"/>
          </w:tcPr>
          <w:p w:rsidR="00851D07" w:rsidRPr="00B06B1C" w:rsidRDefault="00851D07" w:rsidP="005B1E1F">
            <w:pPr>
              <w:rPr>
                <w:rFonts w:ascii="仿宋_GB2312" w:eastAsia="仿宋_GB2312" w:hAnsi="Times New Roman"/>
                <w:sz w:val="24"/>
                <w:szCs w:val="24"/>
              </w:rPr>
            </w:pPr>
          </w:p>
        </w:tc>
        <w:tc>
          <w:tcPr>
            <w:tcW w:w="556" w:type="dxa"/>
            <w:vMerge/>
            <w:vAlign w:val="center"/>
          </w:tcPr>
          <w:p w:rsidR="00851D07" w:rsidRPr="00B06B1C" w:rsidRDefault="00851D07" w:rsidP="005B1E1F">
            <w:pP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界面效果</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界面精细逼真，布局合理，设计简明，重点突出；</w:t>
            </w:r>
          </w:p>
        </w:tc>
      </w:tr>
      <w:tr w:rsidR="00851D07" w:rsidRPr="00B06B1C" w:rsidTr="005B1E1F">
        <w:trPr>
          <w:cantSplit/>
          <w:trHeight w:val="405"/>
        </w:trPr>
        <w:tc>
          <w:tcPr>
            <w:tcW w:w="612" w:type="dxa"/>
            <w:vMerge/>
            <w:vAlign w:val="center"/>
          </w:tcPr>
          <w:p w:rsidR="00851D07" w:rsidRPr="00B06B1C" w:rsidRDefault="00851D07" w:rsidP="005B1E1F">
            <w:pPr>
              <w:jc w:val="center"/>
              <w:rPr>
                <w:rFonts w:ascii="仿宋_GB2312" w:eastAsia="仿宋_GB2312" w:hAnsi="Times New Roman"/>
                <w:sz w:val="24"/>
                <w:szCs w:val="24"/>
              </w:rPr>
            </w:pPr>
          </w:p>
        </w:tc>
        <w:tc>
          <w:tcPr>
            <w:tcW w:w="556" w:type="dxa"/>
            <w:vMerge w:val="restart"/>
            <w:vAlign w:val="center"/>
          </w:tcPr>
          <w:p w:rsidR="00851D07" w:rsidRPr="00B06B1C" w:rsidRDefault="00851D07" w:rsidP="005B1E1F">
            <w:pPr>
              <w:jc w:val="center"/>
              <w:rPr>
                <w:rFonts w:ascii="仿宋_GB2312" w:eastAsia="仿宋_GB2312" w:hAnsi="Times New Roman"/>
                <w:sz w:val="24"/>
                <w:szCs w:val="24"/>
              </w:rPr>
            </w:pPr>
            <w:r w:rsidRPr="00B06B1C">
              <w:rPr>
                <w:rFonts w:ascii="仿宋_GB2312" w:eastAsia="仿宋_GB2312" w:hAnsi="Times New Roman" w:hint="eastAsia"/>
                <w:sz w:val="24"/>
                <w:szCs w:val="24"/>
              </w:rPr>
              <w:t>技术性</w:t>
            </w:r>
          </w:p>
          <w:p w:rsidR="00851D07" w:rsidRPr="00B06B1C" w:rsidRDefault="00851D07" w:rsidP="005B1E1F">
            <w:pPr>
              <w:jc w:val="center"/>
              <w:rPr>
                <w:rFonts w:ascii="仿宋_GB2312" w:eastAsia="仿宋_GB2312" w:hAnsi="Times New Roman"/>
                <w:sz w:val="24"/>
                <w:szCs w:val="24"/>
              </w:rPr>
            </w:pPr>
            <w:r w:rsidRPr="00B06B1C">
              <w:rPr>
                <w:rFonts w:ascii="仿宋_GB2312" w:eastAsia="仿宋_GB2312" w:hAnsi="Times New Roman" w:hint="eastAsia"/>
                <w:sz w:val="24"/>
                <w:szCs w:val="24"/>
              </w:rPr>
              <w:t>15%</w:t>
            </w: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操作水平</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用户指导内容完备，开发所用的主体技术应符合主流及未来发展方向，但</w:t>
            </w:r>
            <w:proofErr w:type="gramStart"/>
            <w:r w:rsidRPr="00B06B1C">
              <w:rPr>
                <w:rFonts w:ascii="仿宋_GB2312" w:eastAsia="仿宋_GB2312" w:hAnsi="Times New Roman" w:hint="eastAsia"/>
                <w:sz w:val="24"/>
                <w:szCs w:val="24"/>
              </w:rPr>
              <w:t>不</w:t>
            </w:r>
            <w:proofErr w:type="gramEnd"/>
            <w:r w:rsidRPr="00B06B1C">
              <w:rPr>
                <w:rFonts w:ascii="仿宋_GB2312" w:eastAsia="仿宋_GB2312" w:hAnsi="Times New Roman" w:hint="eastAsia"/>
                <w:sz w:val="24"/>
                <w:szCs w:val="24"/>
              </w:rPr>
              <w:t>一味追求新与奇，以符合其功能为标准；</w:t>
            </w:r>
          </w:p>
        </w:tc>
      </w:tr>
      <w:tr w:rsidR="00851D07" w:rsidRPr="00B06B1C" w:rsidTr="005B1E1F">
        <w:trPr>
          <w:cantSplit/>
          <w:trHeight w:val="364"/>
        </w:trPr>
        <w:tc>
          <w:tcPr>
            <w:tcW w:w="612" w:type="dxa"/>
            <w:vMerge/>
            <w:vAlign w:val="center"/>
          </w:tcPr>
          <w:p w:rsidR="00851D07" w:rsidRPr="00B06B1C" w:rsidRDefault="00851D07" w:rsidP="005B1E1F">
            <w:pPr>
              <w:jc w:val="center"/>
              <w:rPr>
                <w:rFonts w:ascii="仿宋_GB2312" w:eastAsia="仿宋_GB2312" w:hAnsi="Times New Roman"/>
                <w:sz w:val="24"/>
                <w:szCs w:val="24"/>
              </w:rPr>
            </w:pPr>
          </w:p>
        </w:tc>
        <w:tc>
          <w:tcPr>
            <w:tcW w:w="556" w:type="dxa"/>
            <w:vMerge/>
            <w:vAlign w:val="center"/>
          </w:tcPr>
          <w:p w:rsidR="00851D07" w:rsidRPr="00B06B1C" w:rsidRDefault="00851D07" w:rsidP="005B1E1F">
            <w:pPr>
              <w:jc w:val="cente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运行状况</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各功能正确无误，响应速度快，纠错性能好，在运行过程中不出故障，稳定性好；</w:t>
            </w:r>
          </w:p>
        </w:tc>
      </w:tr>
      <w:tr w:rsidR="00851D07" w:rsidRPr="00B06B1C" w:rsidTr="005B1E1F">
        <w:trPr>
          <w:cantSplit/>
          <w:trHeight w:val="470"/>
        </w:trPr>
        <w:tc>
          <w:tcPr>
            <w:tcW w:w="612" w:type="dxa"/>
            <w:vMerge/>
            <w:vAlign w:val="center"/>
          </w:tcPr>
          <w:p w:rsidR="00851D07" w:rsidRPr="00B06B1C" w:rsidRDefault="00851D07" w:rsidP="005B1E1F">
            <w:pPr>
              <w:jc w:val="center"/>
              <w:rPr>
                <w:rFonts w:ascii="仿宋_GB2312" w:eastAsia="仿宋_GB2312" w:hAnsi="Times New Roman"/>
                <w:sz w:val="24"/>
                <w:szCs w:val="24"/>
              </w:rPr>
            </w:pPr>
          </w:p>
        </w:tc>
        <w:tc>
          <w:tcPr>
            <w:tcW w:w="556" w:type="dxa"/>
            <w:vMerge/>
            <w:vAlign w:val="center"/>
          </w:tcPr>
          <w:p w:rsidR="00851D07" w:rsidRPr="00B06B1C" w:rsidRDefault="00851D07" w:rsidP="005B1E1F">
            <w:pPr>
              <w:jc w:val="center"/>
              <w:rPr>
                <w:rFonts w:ascii="仿宋_GB2312" w:eastAsia="仿宋_GB2312" w:hAnsi="Times New Roman"/>
                <w:sz w:val="24"/>
                <w:szCs w:val="24"/>
              </w:rPr>
            </w:pPr>
          </w:p>
        </w:tc>
        <w:tc>
          <w:tcPr>
            <w:tcW w:w="1559"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操作方式</w:t>
            </w:r>
          </w:p>
        </w:tc>
        <w:tc>
          <w:tcPr>
            <w:tcW w:w="6595" w:type="dxa"/>
            <w:vAlign w:val="center"/>
          </w:tcPr>
          <w:p w:rsidR="00851D07" w:rsidRPr="00B06B1C" w:rsidRDefault="00851D07" w:rsidP="005B1E1F">
            <w:pPr>
              <w:rPr>
                <w:rFonts w:ascii="仿宋_GB2312" w:eastAsia="仿宋_GB2312" w:hAnsi="Times New Roman"/>
                <w:sz w:val="24"/>
                <w:szCs w:val="24"/>
              </w:rPr>
            </w:pPr>
            <w:r w:rsidRPr="00B06B1C">
              <w:rPr>
                <w:rFonts w:ascii="仿宋_GB2312" w:eastAsia="仿宋_GB2312" w:hAnsi="Times New Roman" w:hint="eastAsia"/>
                <w:sz w:val="24"/>
                <w:szCs w:val="24"/>
              </w:rPr>
              <w:t>按键的位置、游戏操作方式符合常人的习惯，使用顺手；</w:t>
            </w:r>
          </w:p>
        </w:tc>
      </w:tr>
      <w:tr w:rsidR="00851D07" w:rsidRPr="00B06B1C" w:rsidTr="005B1E1F">
        <w:trPr>
          <w:cantSplit/>
          <w:trHeight w:val="614"/>
        </w:trPr>
        <w:tc>
          <w:tcPr>
            <w:tcW w:w="2727" w:type="dxa"/>
            <w:gridSpan w:val="3"/>
            <w:vAlign w:val="center"/>
          </w:tcPr>
          <w:p w:rsidR="00851D07" w:rsidRPr="00B06B1C" w:rsidRDefault="00851D07" w:rsidP="005B1E1F">
            <w:pPr>
              <w:jc w:val="center"/>
              <w:rPr>
                <w:rFonts w:ascii="仿宋_GB2312" w:eastAsia="仿宋_GB2312" w:hAnsi="Times New Roman"/>
                <w:sz w:val="24"/>
                <w:szCs w:val="24"/>
              </w:rPr>
            </w:pPr>
            <w:r w:rsidRPr="00B06B1C">
              <w:rPr>
                <w:rFonts w:ascii="仿宋_GB2312" w:eastAsia="仿宋_GB2312" w:hAnsi="Times New Roman" w:hint="eastAsia"/>
                <w:sz w:val="24"/>
                <w:szCs w:val="24"/>
              </w:rPr>
              <w:t>总体效果10%</w:t>
            </w:r>
          </w:p>
        </w:tc>
        <w:tc>
          <w:tcPr>
            <w:tcW w:w="6595" w:type="dxa"/>
            <w:vAlign w:val="center"/>
          </w:tcPr>
          <w:p w:rsidR="00851D07" w:rsidRPr="00B06B1C" w:rsidRDefault="00851D07" w:rsidP="005B1E1F">
            <w:pPr>
              <w:jc w:val="left"/>
              <w:rPr>
                <w:rFonts w:ascii="仿宋_GB2312" w:eastAsia="仿宋_GB2312" w:hAnsi="Times New Roman"/>
                <w:sz w:val="24"/>
                <w:szCs w:val="24"/>
              </w:rPr>
            </w:pPr>
            <w:r w:rsidRPr="00B06B1C">
              <w:rPr>
                <w:rFonts w:ascii="仿宋_GB2312" w:eastAsia="仿宋_GB2312" w:hAnsi="Times New Roman" w:hint="eastAsia"/>
                <w:sz w:val="24"/>
                <w:szCs w:val="24"/>
              </w:rPr>
              <w:t>在游戏应用于教育教学的某一方面有所创新且有推广价值的作品可适当加分。</w:t>
            </w:r>
          </w:p>
        </w:tc>
      </w:tr>
    </w:tbl>
    <w:p w:rsidR="00851D07" w:rsidRDefault="00851D07" w:rsidP="00851D07">
      <w:pPr>
        <w:spacing w:line="520" w:lineRule="exact"/>
        <w:rPr>
          <w:rFonts w:ascii="Times New Roman" w:hAnsi="Times New Roman"/>
          <w:sz w:val="24"/>
          <w:szCs w:val="24"/>
        </w:rPr>
      </w:pPr>
    </w:p>
    <w:p w:rsidR="00851D07" w:rsidRDefault="00851D07" w:rsidP="00851D07">
      <w:pPr>
        <w:widowControl/>
        <w:jc w:val="left"/>
        <w:rPr>
          <w:rFonts w:ascii="Times New Roman" w:hAnsi="Times New Roman"/>
          <w:sz w:val="24"/>
          <w:szCs w:val="24"/>
        </w:rPr>
      </w:pPr>
    </w:p>
    <w:p w:rsidR="00C67E39" w:rsidRPr="00851D07" w:rsidRDefault="00C67E39">
      <w:bookmarkStart w:id="0" w:name="_GoBack"/>
      <w:bookmarkEnd w:id="0"/>
    </w:p>
    <w:sectPr w:rsidR="00C67E39" w:rsidRPr="00851D07" w:rsidSect="007E2787">
      <w:footerReference w:type="default" r:id="rId5"/>
      <w:pgSz w:w="11906" w:h="16838"/>
      <w:pgMar w:top="1440" w:right="1274"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332810"/>
      <w:docPartObj>
        <w:docPartGallery w:val="Page Numbers (Bottom of Page)"/>
        <w:docPartUnique/>
      </w:docPartObj>
    </w:sdtPr>
    <w:sdtEndPr/>
    <w:sdtContent>
      <w:p w:rsidR="007E2787" w:rsidRDefault="00851D07">
        <w:pPr>
          <w:pStyle w:val="a3"/>
          <w:jc w:val="center"/>
        </w:pPr>
        <w:r>
          <w:t>-</w:t>
        </w:r>
        <w:r>
          <w:fldChar w:fldCharType="begin"/>
        </w:r>
        <w:r>
          <w:instrText xml:space="preserve">PAGE   \* </w:instrText>
        </w:r>
        <w:r>
          <w:instrText>MERGEFORMAT</w:instrText>
        </w:r>
        <w:r>
          <w:fldChar w:fldCharType="separate"/>
        </w:r>
        <w:r w:rsidRPr="009F1DF6">
          <w:rPr>
            <w:noProof/>
            <w:lang w:val="zh-CN"/>
          </w:rPr>
          <w:t>7</w:t>
        </w:r>
        <w:r>
          <w:fldChar w:fldCharType="end"/>
        </w:r>
        <w:r>
          <w:t>-</w:t>
        </w:r>
      </w:p>
    </w:sdtContent>
  </w:sdt>
  <w:p w:rsidR="007E2787" w:rsidRDefault="00851D0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07"/>
    <w:rsid w:val="002E78E6"/>
    <w:rsid w:val="00354F54"/>
    <w:rsid w:val="00430A36"/>
    <w:rsid w:val="00851D07"/>
    <w:rsid w:val="00AD08DC"/>
    <w:rsid w:val="00C67E39"/>
    <w:rsid w:val="00DC3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1D07"/>
    <w:pPr>
      <w:tabs>
        <w:tab w:val="center" w:pos="4153"/>
        <w:tab w:val="right" w:pos="8306"/>
      </w:tabs>
      <w:snapToGrid w:val="0"/>
      <w:jc w:val="left"/>
    </w:pPr>
    <w:rPr>
      <w:sz w:val="18"/>
      <w:szCs w:val="18"/>
    </w:rPr>
  </w:style>
  <w:style w:type="character" w:customStyle="1" w:styleId="Char">
    <w:name w:val="页脚 Char"/>
    <w:basedOn w:val="a0"/>
    <w:link w:val="a3"/>
    <w:uiPriority w:val="99"/>
    <w:rsid w:val="00851D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1D07"/>
    <w:pPr>
      <w:tabs>
        <w:tab w:val="center" w:pos="4153"/>
        <w:tab w:val="right" w:pos="8306"/>
      </w:tabs>
      <w:snapToGrid w:val="0"/>
      <w:jc w:val="left"/>
    </w:pPr>
    <w:rPr>
      <w:sz w:val="18"/>
      <w:szCs w:val="18"/>
    </w:rPr>
  </w:style>
  <w:style w:type="character" w:customStyle="1" w:styleId="Char">
    <w:name w:val="页脚 Char"/>
    <w:basedOn w:val="a0"/>
    <w:link w:val="a3"/>
    <w:uiPriority w:val="99"/>
    <w:rsid w:val="00851D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Company>Users</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2018-07-09T03:01:00Z</dcterms:created>
  <dcterms:modified xsi:type="dcterms:W3CDTF">2018-07-09T03:01:00Z</dcterms:modified>
</cp:coreProperties>
</file>